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>Thématique :   Neurosciences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>Unité :   Institut du Fer à Moulin</w:t>
      </w:r>
      <w:r w:rsidR="00264C7C">
        <w:rPr>
          <w:rFonts w:ascii="Times New Roman" w:eastAsia="Times New Roman" w:hAnsi="Times New Roman" w:cs="Times New Roman"/>
          <w:lang w:eastAsia="fr-FR"/>
        </w:rPr>
        <w:t xml:space="preserve"> (IFM)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>Directeur :   GIRAULT Jean-Antoine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Equipe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:   Plasticité des réseaux corticaux et épilepsie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>Responsable :   PONCER Jean-Christophe / LEVI Sabine</w:t>
      </w:r>
    </w:p>
    <w:p w:rsidR="00AB68CE" w:rsidRPr="00AB68CE" w:rsidRDefault="00264C7C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Encadrant(s) : </w:t>
      </w:r>
      <w:r w:rsidR="00AB68CE" w:rsidRPr="00AB68CE">
        <w:rPr>
          <w:rFonts w:ascii="Times New Roman" w:eastAsia="Times New Roman" w:hAnsi="Times New Roman" w:cs="Times New Roman"/>
          <w:lang w:eastAsia="fr-FR"/>
        </w:rPr>
        <w:t xml:space="preserve">PONCER Jean-Christophe </w:t>
      </w:r>
      <w:r>
        <w:rPr>
          <w:rFonts w:ascii="Times New Roman" w:eastAsia="Times New Roman" w:hAnsi="Times New Roman" w:cs="Times New Roman"/>
          <w:lang w:eastAsia="fr-FR"/>
        </w:rPr>
        <w:t>(IFM) et NAVARRO Vincent (ICM/APHP)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 xml:space="preserve">Un autre financement est-il envisagé ? Si oui, auprès de quel </w:t>
      </w:r>
      <w:proofErr w:type="gramStart"/>
      <w:r w:rsidRPr="00AB68CE">
        <w:rPr>
          <w:rFonts w:ascii="Times New Roman" w:eastAsia="Times New Roman" w:hAnsi="Times New Roman" w:cs="Times New Roman"/>
          <w:lang w:eastAsia="fr-FR"/>
        </w:rPr>
        <w:t>organisme  non</w:t>
      </w:r>
      <w:proofErr w:type="gramEnd"/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>L'HDR encadre-t-il des doctorants ?  Oui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>Nombre de doctorant(s) actuellement dirigés par l'HDR :  1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 xml:space="preserve">Nom, Prénom, date de début de thèse et financement des doctorants dirigés : 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Donneger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>, Florian, 10/2018, CD SU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t>    </w:t>
      </w:r>
    </w:p>
    <w:p w:rsidR="00AB68CE" w:rsidRPr="00AB68CE" w:rsidRDefault="00AB68CE" w:rsidP="00AB68CE">
      <w:pPr>
        <w:shd w:val="clear" w:color="auto" w:fill="7BA42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>SUJET PROPOSE</w:t>
      </w: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 xml:space="preserve">Titre :   </w:t>
      </w:r>
      <w:proofErr w:type="spellStart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>Alterations</w:t>
      </w:r>
      <w:proofErr w:type="spellEnd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 xml:space="preserve"> of </w:t>
      </w:r>
      <w:proofErr w:type="spellStart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>metabolism</w:t>
      </w:r>
      <w:proofErr w:type="spellEnd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 xml:space="preserve"> in </w:t>
      </w:r>
      <w:proofErr w:type="spellStart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>refractory</w:t>
      </w:r>
      <w:proofErr w:type="spellEnd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>epilepsies</w:t>
      </w:r>
      <w:proofErr w:type="spellEnd"/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AB68CE" w:rsidRPr="00AB68CE" w:rsidRDefault="00AB68CE" w:rsidP="00AB68CE">
      <w:pPr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B68CE">
        <w:rPr>
          <w:rFonts w:ascii="Times New Roman" w:eastAsia="Times New Roman" w:hAnsi="Times New Roman" w:cs="Times New Roman"/>
          <w:b/>
          <w:bCs/>
          <w:lang w:eastAsia="fr-FR"/>
        </w:rPr>
        <w:t>Projet :</w:t>
      </w:r>
    </w:p>
    <w:p w:rsid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Status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epilepticus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(SE)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devastating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condition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consisting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an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uninterrupted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epileptic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seizure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lasting over minutes.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Despite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initial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therapeutic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control, about 25% SE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become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refractory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Persisting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epileptic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seizures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increase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risk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excito-toxicity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neuro-inflammation and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death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leading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to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irreversible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neurological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sequels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therefore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calling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for intensive effort to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identify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novel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therapeutic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targets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to control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refractory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SE. </w:t>
      </w:r>
    </w:p>
    <w:p w:rsid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Among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many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physiopathological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consequences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SE, a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recently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discovered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pathway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involving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brain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homeostasis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may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offer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novel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therapeutic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opportunities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Whereas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present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all membranes, an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excess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neurotoxic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through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mechanisms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that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remain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largely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unknown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metabolism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controlled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part by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neuron-specific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CYP46A1,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which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catalyzes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its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degradation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into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24-hydroxcholestérol (24-OHc).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Recent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observations in animal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models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revealed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altered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brain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metabolism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rapid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decline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24-OHc. In addition,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chronic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CYP46A1 knockdown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results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accumulation,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death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epileptiform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activity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This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suggests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that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loss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CYP46A1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upon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SE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may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trigger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pathological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accumulation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leading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to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excitotoxicity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death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Thus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preventing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brain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accumulation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using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for instance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statins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offers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novel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therapeutic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perspective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that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may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help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reduce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functional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consequences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SE. </w:t>
      </w:r>
    </w:p>
    <w:p w:rsid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AB68CE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propose </w:t>
      </w:r>
      <w:proofErr w:type="gramStart"/>
      <w:r w:rsidRPr="00AB68CE">
        <w:rPr>
          <w:rFonts w:ascii="Times New Roman" w:eastAsia="Times New Roman" w:hAnsi="Times New Roman" w:cs="Times New Roman"/>
          <w:lang w:eastAsia="fr-FR"/>
        </w:rPr>
        <w:t>a</w:t>
      </w:r>
      <w:proofErr w:type="gramEnd"/>
      <w:r w:rsidRPr="00AB68CE">
        <w:rPr>
          <w:rFonts w:ascii="Times New Roman" w:eastAsia="Times New Roman" w:hAnsi="Times New Roman" w:cs="Times New Roman"/>
          <w:lang w:eastAsia="fr-FR"/>
        </w:rPr>
        <w:t xml:space="preserve"> transversal and multi-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scale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approach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aiming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to explore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functional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consequences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a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loss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CYP46A1 neuronal expression. Our goal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to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better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understand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how CYP46A1 suppression affects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activity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survival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thereby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contribute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to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anomalous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activities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following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SE. </w:t>
      </w:r>
    </w:p>
    <w:p w:rsidR="00DD3241" w:rsidRDefault="00AB68CE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AB68CE">
        <w:rPr>
          <w:rFonts w:ascii="Times New Roman" w:eastAsia="Times New Roman" w:hAnsi="Times New Roman" w:cs="Times New Roman"/>
          <w:lang w:eastAsia="fr-FR"/>
        </w:rPr>
        <w:br/>
        <w:t xml:space="preserve">1.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 component of plasma membrane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lipid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rafts,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which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are key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organizers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intracellular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signaling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membrane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tethering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cytoskeletal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components. In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synaptic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vesicles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it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responsible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for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vesicle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membrane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curvature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fusion,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thereby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influencing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transmitter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release. By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perturbing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membrane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lipid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composition,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increased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may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influence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vesicular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traffic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transmitter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release as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as membrane expression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function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ion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channels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postsynaptic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receptors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Using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vitro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electrophysiological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approaches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combined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superresolution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imaging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techniques,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investigate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consequences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chronic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CYP46A1 knockdown by RNA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interference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cortical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neurons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AB68CE">
        <w:rPr>
          <w:rFonts w:ascii="Times New Roman" w:eastAsia="Times New Roman" w:hAnsi="Times New Roman" w:cs="Times New Roman"/>
          <w:lang w:eastAsia="fr-FR"/>
        </w:rPr>
        <w:lastRenderedPageBreak/>
        <w:t xml:space="preserve">Changes in membrane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synaptic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properties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monitored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including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transmitter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release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probability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>/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dynamics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postsynaptic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receptor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function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explore membrane expression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dynamics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ion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channels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receptors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using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single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particle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tracking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techniques as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as PALM-STORM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microscopy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as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lipid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raft distribution and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survival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Since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lipid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rafts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also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regulate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membrane expression of the tyrosine kinase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neurotrophin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receptors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Trk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p75NTR,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explore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whether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altered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p75NTR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signaling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may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engaged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upon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CYP46A1 knockdown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contribute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to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vulnerability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SE. </w:t>
      </w:r>
      <w:r w:rsidRPr="00AB68CE">
        <w:rPr>
          <w:rFonts w:ascii="Times New Roman" w:eastAsia="Times New Roman" w:hAnsi="Times New Roman" w:cs="Times New Roman"/>
          <w:lang w:eastAsia="fr-FR"/>
        </w:rPr>
        <w:br/>
      </w:r>
      <w:r w:rsidRPr="00AB68CE">
        <w:rPr>
          <w:rFonts w:ascii="Times New Roman" w:eastAsia="Times New Roman" w:hAnsi="Times New Roman" w:cs="Times New Roman"/>
          <w:lang w:eastAsia="fr-FR"/>
        </w:rPr>
        <w:br/>
        <w:t xml:space="preserve">2.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Human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brain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samples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are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available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patients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simple,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refractory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super-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refractory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SE.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Using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immunohistochemical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biochemical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approaches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test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whether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CYP46A1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reliable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biomarker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pathology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its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severity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compare CYP46A1 expression in the LCS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brain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tissue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controls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vs. SE patients.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Since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active CYP46A1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may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specifically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translocated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the RE to the plasma membrane,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compare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subcellular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CYP46A1 expression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using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immunogold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staining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electron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microscopy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from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human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brain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samples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AB68CE">
        <w:rPr>
          <w:rFonts w:ascii="Times New Roman" w:eastAsia="Times New Roman" w:hAnsi="Times New Roman" w:cs="Times New Roman"/>
          <w:lang w:eastAsia="fr-FR"/>
        </w:rPr>
        <w:br/>
      </w:r>
      <w:r w:rsidRPr="00AB68CE">
        <w:rPr>
          <w:rFonts w:ascii="Times New Roman" w:eastAsia="Times New Roman" w:hAnsi="Times New Roman" w:cs="Times New Roman"/>
          <w:lang w:eastAsia="fr-FR"/>
        </w:rPr>
        <w:br/>
        <w:t xml:space="preserve">3.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test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whether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compensating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for CYP46A1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deficits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may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improve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clinical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outcome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an animal model of SE.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Using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intrahippocampal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kainate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injection model,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which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mimics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several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key aspects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human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SE and leads to CYP46A1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downregulation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explore and compare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effects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i)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chronic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overexpression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recombinant CYP46A1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using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viral transduction in vivo or ii)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chronic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administration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simvastatin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a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statin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with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optimal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penetration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blood-brain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barrier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monitor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electrophysiological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activity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by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chronic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video-ECoG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recordings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anatomical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markers of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pathology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such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as neuronal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death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microglial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activation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accumulation.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These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results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will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let us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predict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the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therapeutic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potential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strategies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aiming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to restore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cholesterol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metabolism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in SE, and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possibly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other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neurological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B68CE">
        <w:rPr>
          <w:rFonts w:ascii="Times New Roman" w:eastAsia="Times New Roman" w:hAnsi="Times New Roman" w:cs="Times New Roman"/>
          <w:lang w:eastAsia="fr-FR"/>
        </w:rPr>
        <w:t>disorders</w:t>
      </w:r>
      <w:proofErr w:type="spellEnd"/>
      <w:r w:rsidRPr="00AB68CE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DD3241" w:rsidRDefault="00DD3241" w:rsidP="00AB68CE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DD3241" w:rsidRPr="00DD3241" w:rsidRDefault="00DD3241" w:rsidP="00AB68CE">
      <w:pPr>
        <w:jc w:val="both"/>
        <w:rPr>
          <w:rFonts w:ascii="Times New Roman" w:eastAsia="Times New Roman" w:hAnsi="Times New Roman" w:cs="Times New Roman"/>
          <w:u w:val="single"/>
          <w:lang w:eastAsia="fr-FR"/>
        </w:rPr>
      </w:pPr>
      <w:proofErr w:type="spellStart"/>
      <w:r w:rsidRPr="00DD3241">
        <w:rPr>
          <w:rFonts w:ascii="Times New Roman" w:eastAsia="Times New Roman" w:hAnsi="Times New Roman" w:cs="Times New Roman"/>
          <w:u w:val="single"/>
          <w:lang w:eastAsia="fr-FR"/>
        </w:rPr>
        <w:t>Recent</w:t>
      </w:r>
      <w:proofErr w:type="spellEnd"/>
      <w:r w:rsidRPr="00DD3241">
        <w:rPr>
          <w:rFonts w:ascii="Times New Roman" w:eastAsia="Times New Roman" w:hAnsi="Times New Roman" w:cs="Times New Roman"/>
          <w:u w:val="single"/>
          <w:lang w:eastAsia="fr-FR"/>
        </w:rPr>
        <w:t xml:space="preserve"> publications</w:t>
      </w:r>
    </w:p>
    <w:p w:rsidR="00DD3241" w:rsidRPr="00DD3241" w:rsidRDefault="00DD3241" w:rsidP="00DD3241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DD3241" w:rsidRPr="00B04195" w:rsidRDefault="00126412" w:rsidP="00126412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</w:pPr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Hanin A,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Lambrecq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V, Denis JA, Imbert-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Bismut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F,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Rucheton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B,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Lamari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F,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Bonnefont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-Rousselot D,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Demeret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S, </w:t>
      </w:r>
      <w:r w:rsidRPr="00B04195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Navarro V</w:t>
      </w:r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(2020)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Cerebrospinal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fluid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and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blood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biomarkers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of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status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epilepticus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. </w:t>
      </w:r>
      <w:proofErr w:type="spellStart"/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Epilepsia</w:t>
      </w:r>
      <w:proofErr w:type="spellEnd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61(1</w:t>
      </w:r>
      <w:proofErr w:type="gramStart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):</w:t>
      </w:r>
      <w:proofErr w:type="gramEnd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6-18.</w:t>
      </w:r>
    </w:p>
    <w:p w:rsidR="00126412" w:rsidRPr="00B04195" w:rsidRDefault="00126412" w:rsidP="00126412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DD3241" w:rsidRPr="00B04195" w:rsidRDefault="00DD3241" w:rsidP="00DD3241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</w:pP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Goutierre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M, Al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Awabdh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Donneger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F, François E, Gomez-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Dominguez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Irinopoulou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T,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Menendez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de la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Prida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L, </w:t>
      </w:r>
      <w:r w:rsidRPr="00B04195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Poncer JC</w:t>
      </w:r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(2019) KCC2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Regulates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Neuronal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Excitability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and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Hippocampal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Activity via Interaction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with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Task-3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Channels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. </w:t>
      </w:r>
      <w:proofErr w:type="spellStart"/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Cell</w:t>
      </w:r>
      <w:proofErr w:type="spellEnd"/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 Rep</w:t>
      </w:r>
      <w:r w:rsidR="009D4C7F"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orts</w:t>
      </w:r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28(1</w:t>
      </w:r>
      <w:proofErr w:type="gramStart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):</w:t>
      </w:r>
      <w:proofErr w:type="gramEnd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91-103.e7</w:t>
      </w:r>
    </w:p>
    <w:p w:rsidR="00DD3241" w:rsidRPr="00B04195" w:rsidRDefault="00DD3241" w:rsidP="00DD3241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DD3241" w:rsidRPr="00B04195" w:rsidRDefault="00DD3241" w:rsidP="00DD3241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</w:pP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Heubl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M, Zhang J,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Pressey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JC, Al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Awabdh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S, Renner M, Gomez-Castro F,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Moutkine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I, Eugène E,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Russeau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Kahle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KT, </w:t>
      </w:r>
      <w:r w:rsidRPr="00B04195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Poncer JC</w:t>
      </w:r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Lévi S (2017) GABAA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receptor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dependent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synaptic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inhibition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rapidly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tunes KCC2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activity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via the Cl--sensitive WNK1 kinase. </w:t>
      </w:r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Nat</w:t>
      </w:r>
      <w:r w:rsidR="009D4C7F"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ure</w:t>
      </w:r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 Commun</w:t>
      </w:r>
      <w:r w:rsidR="009D4C7F"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ications</w:t>
      </w:r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</w:t>
      </w:r>
      <w:proofErr w:type="gramStart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8:</w:t>
      </w:r>
      <w:proofErr w:type="gramEnd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1776</w:t>
      </w:r>
    </w:p>
    <w:p w:rsidR="00DD3241" w:rsidRPr="00B04195" w:rsidRDefault="00DD3241" w:rsidP="00DD3241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DD3241" w:rsidRPr="00B04195" w:rsidRDefault="00DD3241" w:rsidP="00DD3241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</w:pP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Giralt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Brito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V,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Chevy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Q,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Simonnet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C, Otsu Y,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Cifuentes-Díaz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C, de Pins B,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Coura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R,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Alberch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J,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Ginés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S, </w:t>
      </w:r>
      <w:r w:rsidRPr="00B04195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Poncer JC</w:t>
      </w:r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, Girault JA (2017) Pyk2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modulates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hippocampal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excitatory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synapses and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contributes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to cognitive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deficits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in a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Huntington's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disease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model. </w:t>
      </w:r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Nat</w:t>
      </w:r>
      <w:r w:rsidR="009D4C7F"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ure</w:t>
      </w:r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 Commun</w:t>
      </w:r>
      <w:r w:rsidR="009D4C7F"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ications</w:t>
      </w:r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</w:t>
      </w:r>
      <w:proofErr w:type="gramStart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8:</w:t>
      </w:r>
      <w:proofErr w:type="gramEnd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15592</w:t>
      </w:r>
    </w:p>
    <w:p w:rsidR="00DD3241" w:rsidRPr="00B04195" w:rsidRDefault="00DD3241" w:rsidP="00DD3241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DD3241" w:rsidRDefault="00DD3241" w:rsidP="00DD3241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</w:pP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Chevy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Q,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Heubl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Goutierre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M, Backer S,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Moutkine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I, Eugène E, Bloch-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Gallego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E, Lévi S, </w:t>
      </w:r>
      <w:r w:rsidRPr="00B04195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Poncer JC</w:t>
      </w:r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(2015) KCC2 Gates Activity-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Driven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AMPA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Receptor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Traffic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through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Cofilin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Phosphorylation. </w:t>
      </w:r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J</w:t>
      </w:r>
      <w:r w:rsidR="009D4C7F"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ournal of</w:t>
      </w:r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 Neurosc</w:t>
      </w:r>
      <w:r w:rsidR="009D4C7F"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ience</w:t>
      </w:r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 </w:t>
      </w:r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35(48</w:t>
      </w:r>
      <w:proofErr w:type="gramStart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):</w:t>
      </w:r>
      <w:proofErr w:type="gramEnd"/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>15772-86</w:t>
      </w:r>
    </w:p>
    <w:p w:rsidR="00B04195" w:rsidRPr="00B04195" w:rsidRDefault="00B04195" w:rsidP="00B04195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:rsidR="00B04195" w:rsidRPr="00B04195" w:rsidRDefault="00B04195" w:rsidP="00B04195">
      <w:pPr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Chali F,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Djelti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F, Eugene E,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Valderrama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M, Marquer C,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Aubourg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P,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Duykaerts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C, Miles R, Cartier N, </w:t>
      </w:r>
      <w:r w:rsidRPr="00B04195">
        <w:rPr>
          <w:rFonts w:ascii="Times New Roman" w:eastAsia="Times New Roman" w:hAnsi="Times New Roman" w:cs="Times New Roman"/>
          <w:sz w:val="22"/>
          <w:szCs w:val="22"/>
          <w:u w:val="single"/>
          <w:lang w:eastAsia="fr-FR"/>
        </w:rPr>
        <w:t>Navarro V</w:t>
      </w:r>
      <w:r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(2015)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Inhibiting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cholesterol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degradation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induces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neuronal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sclerosis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and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epileptic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activity</w:t>
      </w:r>
      <w:proofErr w:type="spellEnd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in mouse </w:t>
      </w:r>
      <w:proofErr w:type="spellStart"/>
      <w:r w:rsidRPr="00B04195">
        <w:rPr>
          <w:rFonts w:ascii="Times New Roman" w:eastAsia="Times New Roman" w:hAnsi="Times New Roman" w:cs="Times New Roman"/>
          <w:sz w:val="22"/>
          <w:szCs w:val="22"/>
          <w:lang w:eastAsia="fr-FR"/>
        </w:rPr>
        <w:t>hippocampus</w:t>
      </w:r>
      <w:proofErr w:type="spellEnd"/>
      <w:r w:rsidRPr="00B04195">
        <w:rPr>
          <w:rFonts w:ascii="Times New Roman" w:eastAsia="Times New Roman" w:hAnsi="Times New Roman" w:cs="Times New Roman"/>
          <w:b/>
          <w:bCs/>
          <w:sz w:val="22"/>
          <w:szCs w:val="22"/>
          <w:lang w:eastAsia="fr-FR"/>
        </w:rPr>
        <w:t>.</w:t>
      </w:r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 </w:t>
      </w:r>
      <w:proofErr w:type="spellStart"/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Eur</w:t>
      </w:r>
      <w:proofErr w:type="spellEnd"/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 xml:space="preserve"> J </w:t>
      </w:r>
      <w:proofErr w:type="spellStart"/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Neurosci</w:t>
      </w:r>
      <w:proofErr w:type="spellEnd"/>
      <w:r w:rsidRPr="00B04195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fr-FR"/>
        </w:rPr>
        <w:t>.</w:t>
      </w:r>
      <w:r w:rsidRPr="00B04195">
        <w:rPr>
          <w:rFonts w:ascii="Times New Roman" w:eastAsia="Times New Roman" w:hAnsi="Times New Roman" w:cs="Times New Roman"/>
          <w:i/>
          <w:iCs/>
          <w:sz w:val="22"/>
          <w:szCs w:val="22"/>
          <w:lang w:eastAsia="fr-FR"/>
        </w:rPr>
        <w:t xml:space="preserve"> 41(10):1345-55.</w:t>
      </w:r>
    </w:p>
    <w:sectPr w:rsidR="00B04195" w:rsidRPr="00B04195" w:rsidSect="008E39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CE"/>
    <w:rsid w:val="000141CB"/>
    <w:rsid w:val="00017D29"/>
    <w:rsid w:val="00043411"/>
    <w:rsid w:val="00065AB8"/>
    <w:rsid w:val="000A6E4D"/>
    <w:rsid w:val="00125918"/>
    <w:rsid w:val="00126412"/>
    <w:rsid w:val="0015401C"/>
    <w:rsid w:val="00196D38"/>
    <w:rsid w:val="001A28F0"/>
    <w:rsid w:val="001B35F8"/>
    <w:rsid w:val="001C6B06"/>
    <w:rsid w:val="001F04B7"/>
    <w:rsid w:val="001F5856"/>
    <w:rsid w:val="002175AA"/>
    <w:rsid w:val="00264C7C"/>
    <w:rsid w:val="0026654D"/>
    <w:rsid w:val="002A025A"/>
    <w:rsid w:val="002A0DF3"/>
    <w:rsid w:val="002B1540"/>
    <w:rsid w:val="002C5F2A"/>
    <w:rsid w:val="002D22B6"/>
    <w:rsid w:val="002E74D3"/>
    <w:rsid w:val="002F7177"/>
    <w:rsid w:val="00311D0B"/>
    <w:rsid w:val="00344813"/>
    <w:rsid w:val="00370D96"/>
    <w:rsid w:val="00372905"/>
    <w:rsid w:val="00373EBA"/>
    <w:rsid w:val="003979C3"/>
    <w:rsid w:val="003A6DB6"/>
    <w:rsid w:val="003C5924"/>
    <w:rsid w:val="004259C8"/>
    <w:rsid w:val="004A18F3"/>
    <w:rsid w:val="004B79E4"/>
    <w:rsid w:val="004C112B"/>
    <w:rsid w:val="004E635E"/>
    <w:rsid w:val="00537963"/>
    <w:rsid w:val="0055208B"/>
    <w:rsid w:val="00571ADD"/>
    <w:rsid w:val="005F3931"/>
    <w:rsid w:val="00616FD4"/>
    <w:rsid w:val="0065420F"/>
    <w:rsid w:val="006544D0"/>
    <w:rsid w:val="00667C0D"/>
    <w:rsid w:val="00673ED1"/>
    <w:rsid w:val="006F01D6"/>
    <w:rsid w:val="00701818"/>
    <w:rsid w:val="00712533"/>
    <w:rsid w:val="0071532F"/>
    <w:rsid w:val="00731383"/>
    <w:rsid w:val="007631FE"/>
    <w:rsid w:val="00766416"/>
    <w:rsid w:val="00773545"/>
    <w:rsid w:val="007816A6"/>
    <w:rsid w:val="007A36FB"/>
    <w:rsid w:val="007C0A3A"/>
    <w:rsid w:val="007F5482"/>
    <w:rsid w:val="00817F8B"/>
    <w:rsid w:val="008540B7"/>
    <w:rsid w:val="00875ADA"/>
    <w:rsid w:val="00894AA6"/>
    <w:rsid w:val="008957FB"/>
    <w:rsid w:val="008E390E"/>
    <w:rsid w:val="0092208F"/>
    <w:rsid w:val="00956B0F"/>
    <w:rsid w:val="00987ACE"/>
    <w:rsid w:val="009B1B9E"/>
    <w:rsid w:val="009C6A15"/>
    <w:rsid w:val="009D4C7F"/>
    <w:rsid w:val="00A167F0"/>
    <w:rsid w:val="00A57C0B"/>
    <w:rsid w:val="00A64E28"/>
    <w:rsid w:val="00A828E0"/>
    <w:rsid w:val="00AB68CE"/>
    <w:rsid w:val="00AE0EA2"/>
    <w:rsid w:val="00AE7CE2"/>
    <w:rsid w:val="00B04195"/>
    <w:rsid w:val="00B65FBD"/>
    <w:rsid w:val="00B94F36"/>
    <w:rsid w:val="00BF3593"/>
    <w:rsid w:val="00BF5208"/>
    <w:rsid w:val="00C050C1"/>
    <w:rsid w:val="00C070EA"/>
    <w:rsid w:val="00C552EF"/>
    <w:rsid w:val="00C87BF7"/>
    <w:rsid w:val="00CD542A"/>
    <w:rsid w:val="00D001DC"/>
    <w:rsid w:val="00D17480"/>
    <w:rsid w:val="00D35994"/>
    <w:rsid w:val="00D3748A"/>
    <w:rsid w:val="00D5089C"/>
    <w:rsid w:val="00D538D9"/>
    <w:rsid w:val="00D73D36"/>
    <w:rsid w:val="00D91ABD"/>
    <w:rsid w:val="00DB47CE"/>
    <w:rsid w:val="00DB4CB6"/>
    <w:rsid w:val="00DC0A5D"/>
    <w:rsid w:val="00DC7210"/>
    <w:rsid w:val="00DD3241"/>
    <w:rsid w:val="00DE64BE"/>
    <w:rsid w:val="00DF1DED"/>
    <w:rsid w:val="00DF5AE3"/>
    <w:rsid w:val="00E17CFA"/>
    <w:rsid w:val="00E31EB4"/>
    <w:rsid w:val="00E51141"/>
    <w:rsid w:val="00E72970"/>
    <w:rsid w:val="00E80707"/>
    <w:rsid w:val="00EC0583"/>
    <w:rsid w:val="00EC1457"/>
    <w:rsid w:val="00EE7761"/>
    <w:rsid w:val="00F160A5"/>
    <w:rsid w:val="00F34D16"/>
    <w:rsid w:val="00F53529"/>
    <w:rsid w:val="00F970BA"/>
    <w:rsid w:val="00FA0799"/>
    <w:rsid w:val="00FA6C5F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33558F"/>
  <w15:chartTrackingRefBased/>
  <w15:docId w15:val="{BC9E121B-DAF2-E048-9C6B-9F6EFA1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8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Poncer</dc:creator>
  <cp:keywords/>
  <dc:description/>
  <cp:lastModifiedBy>Jean Christophe Poncer</cp:lastModifiedBy>
  <cp:revision>5</cp:revision>
  <dcterms:created xsi:type="dcterms:W3CDTF">2020-05-19T14:43:00Z</dcterms:created>
  <dcterms:modified xsi:type="dcterms:W3CDTF">2020-05-27T10:58:00Z</dcterms:modified>
</cp:coreProperties>
</file>